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EA855" w14:textId="77777777" w:rsidR="00370C8B" w:rsidRPr="009F1C9E" w:rsidRDefault="00370C8B" w:rsidP="008423CB">
      <w:pPr>
        <w:spacing w:after="225"/>
        <w:outlineLvl w:val="1"/>
        <w:rPr>
          <w:rFonts w:ascii="Calibri" w:eastAsia="Times New Roman" w:hAnsi="Calibri" w:cs="Calibri"/>
          <w:b/>
          <w:bCs/>
          <w:spacing w:val="-1"/>
          <w:sz w:val="28"/>
          <w:szCs w:val="28"/>
          <w:lang w:eastAsia="hu-HU"/>
        </w:rPr>
      </w:pPr>
      <w:r w:rsidRPr="009F1C9E">
        <w:rPr>
          <w:rFonts w:ascii="Calibri" w:eastAsia="Times New Roman" w:hAnsi="Calibri" w:cs="Calibri"/>
          <w:b/>
          <w:bCs/>
          <w:spacing w:val="-1"/>
          <w:sz w:val="28"/>
          <w:szCs w:val="28"/>
          <w:lang w:eastAsia="hu-HU"/>
        </w:rPr>
        <w:t>ALLURE RESIDENCE</w:t>
      </w:r>
    </w:p>
    <w:p w14:paraId="1DACC888" w14:textId="3F8DF0E0" w:rsidR="005C4944" w:rsidRPr="009F1C9E" w:rsidRDefault="005C4944" w:rsidP="004A6CB4">
      <w:pPr>
        <w:spacing w:after="225"/>
        <w:jc w:val="both"/>
        <w:outlineLvl w:val="1"/>
        <w:rPr>
          <w:rFonts w:ascii="Calibri" w:eastAsia="Times New Roman" w:hAnsi="Calibri" w:cs="Calibri"/>
          <w:b/>
          <w:bCs/>
          <w:spacing w:val="-1"/>
          <w:sz w:val="22"/>
          <w:szCs w:val="22"/>
          <w:lang w:eastAsia="hu-HU"/>
        </w:rPr>
      </w:pPr>
      <w:r w:rsidRPr="009F1C9E">
        <w:rPr>
          <w:rFonts w:ascii="Calibri" w:eastAsia="Times New Roman" w:hAnsi="Calibri" w:cs="Calibri"/>
          <w:b/>
          <w:bCs/>
          <w:spacing w:val="-1"/>
          <w:sz w:val="22"/>
          <w:szCs w:val="22"/>
          <w:lang w:eastAsia="hu-HU"/>
        </w:rPr>
        <w:t>Ferencváros rozsdaövezeti területe, a</w:t>
      </w:r>
      <w:r w:rsidR="009525FA" w:rsidRPr="009F1C9E">
        <w:rPr>
          <w:rFonts w:ascii="Calibri" w:eastAsia="Times New Roman" w:hAnsi="Calibri" w:cs="Calibri"/>
          <w:b/>
          <w:bCs/>
          <w:spacing w:val="-1"/>
          <w:sz w:val="22"/>
          <w:szCs w:val="22"/>
          <w:lang w:eastAsia="hu-HU"/>
        </w:rPr>
        <w:t>z egykori Közvágóhíd kör</w:t>
      </w:r>
      <w:r w:rsidR="00750027" w:rsidRPr="009F1C9E">
        <w:rPr>
          <w:rFonts w:ascii="Calibri" w:eastAsia="Times New Roman" w:hAnsi="Calibri" w:cs="Calibri"/>
          <w:b/>
          <w:bCs/>
          <w:spacing w:val="-1"/>
          <w:sz w:val="22"/>
          <w:szCs w:val="22"/>
          <w:lang w:eastAsia="hu-HU"/>
        </w:rPr>
        <w:t>n</w:t>
      </w:r>
      <w:r w:rsidR="009525FA" w:rsidRPr="009F1C9E">
        <w:rPr>
          <w:rFonts w:ascii="Calibri" w:eastAsia="Times New Roman" w:hAnsi="Calibri" w:cs="Calibri"/>
          <w:b/>
          <w:bCs/>
          <w:spacing w:val="-1"/>
          <w:sz w:val="22"/>
          <w:szCs w:val="22"/>
          <w:lang w:eastAsia="hu-HU"/>
        </w:rPr>
        <w:t xml:space="preserve">yéke </w:t>
      </w:r>
      <w:r w:rsidR="00C73E50" w:rsidRPr="009F1C9E">
        <w:rPr>
          <w:rFonts w:ascii="Calibri" w:eastAsia="Times New Roman" w:hAnsi="Calibri" w:cs="Calibri"/>
          <w:b/>
          <w:bCs/>
          <w:spacing w:val="-1"/>
          <w:sz w:val="22"/>
          <w:szCs w:val="22"/>
          <w:lang w:eastAsia="hu-HU"/>
        </w:rPr>
        <w:t>e</w:t>
      </w:r>
      <w:r w:rsidRPr="009F1C9E">
        <w:rPr>
          <w:rFonts w:ascii="Calibri" w:eastAsia="Times New Roman" w:hAnsi="Calibri" w:cs="Calibri"/>
          <w:b/>
          <w:bCs/>
          <w:spacing w:val="-1"/>
          <w:sz w:val="22"/>
          <w:szCs w:val="22"/>
          <w:lang w:eastAsia="hu-HU"/>
        </w:rPr>
        <w:t xml:space="preserve">gy </w:t>
      </w:r>
      <w:r w:rsidR="00370C8B" w:rsidRPr="009F1C9E">
        <w:rPr>
          <w:rFonts w:ascii="Calibri" w:eastAsia="Times New Roman" w:hAnsi="Calibri" w:cs="Calibri"/>
          <w:b/>
          <w:bCs/>
          <w:spacing w:val="-1"/>
          <w:sz w:val="22"/>
          <w:szCs w:val="22"/>
          <w:lang w:eastAsia="hu-HU"/>
        </w:rPr>
        <w:t xml:space="preserve">átalakulóban lévő </w:t>
      </w:r>
      <w:r w:rsidRPr="009F1C9E">
        <w:rPr>
          <w:rFonts w:ascii="Calibri" w:eastAsia="Times New Roman" w:hAnsi="Calibri" w:cs="Calibri"/>
          <w:b/>
          <w:bCs/>
          <w:spacing w:val="-1"/>
          <w:sz w:val="22"/>
          <w:szCs w:val="22"/>
          <w:lang w:eastAsia="hu-HU"/>
        </w:rPr>
        <w:t xml:space="preserve">terület. </w:t>
      </w:r>
      <w:r w:rsidR="0006076D" w:rsidRPr="009F1C9E">
        <w:rPr>
          <w:rFonts w:ascii="Calibri" w:eastAsia="Times New Roman" w:hAnsi="Calibri" w:cs="Calibri"/>
          <w:b/>
          <w:bCs/>
          <w:spacing w:val="-1"/>
          <w:sz w:val="22"/>
          <w:szCs w:val="22"/>
          <w:lang w:eastAsia="hu-HU"/>
        </w:rPr>
        <w:t>Il</w:t>
      </w:r>
      <w:r w:rsidRPr="009F1C9E">
        <w:rPr>
          <w:rFonts w:ascii="Calibri" w:eastAsia="Times New Roman" w:hAnsi="Calibri" w:cs="Calibri"/>
          <w:b/>
          <w:bCs/>
          <w:spacing w:val="-1"/>
          <w:sz w:val="22"/>
          <w:szCs w:val="22"/>
          <w:lang w:eastAsia="hu-HU"/>
        </w:rPr>
        <w:t xml:space="preserve">yen környezetbe </w:t>
      </w:r>
      <w:r w:rsidR="009B2F5D" w:rsidRPr="009F1C9E">
        <w:rPr>
          <w:rFonts w:ascii="Calibri" w:eastAsia="Times New Roman" w:hAnsi="Calibri" w:cs="Calibri"/>
          <w:b/>
          <w:bCs/>
          <w:spacing w:val="-1"/>
          <w:sz w:val="22"/>
          <w:szCs w:val="22"/>
          <w:lang w:eastAsia="hu-HU"/>
        </w:rPr>
        <w:t>elhelyezhető</w:t>
      </w:r>
      <w:r w:rsidRPr="009F1C9E">
        <w:rPr>
          <w:rFonts w:ascii="Calibri" w:eastAsia="Times New Roman" w:hAnsi="Calibri" w:cs="Calibri"/>
          <w:b/>
          <w:bCs/>
          <w:spacing w:val="-1"/>
          <w:sz w:val="22"/>
          <w:szCs w:val="22"/>
          <w:lang w:eastAsia="hu-HU"/>
        </w:rPr>
        <w:t xml:space="preserve"> egy önálló </w:t>
      </w:r>
      <w:r w:rsidR="009B2F5D" w:rsidRPr="009F1C9E">
        <w:rPr>
          <w:rFonts w:ascii="Calibri" w:eastAsia="Times New Roman" w:hAnsi="Calibri" w:cs="Calibri"/>
          <w:b/>
          <w:bCs/>
          <w:spacing w:val="-1"/>
          <w:sz w:val="22"/>
          <w:szCs w:val="22"/>
          <w:lang w:eastAsia="hu-HU"/>
        </w:rPr>
        <w:t xml:space="preserve">építészeti </w:t>
      </w:r>
      <w:r w:rsidRPr="009F1C9E">
        <w:rPr>
          <w:rFonts w:ascii="Calibri" w:eastAsia="Times New Roman" w:hAnsi="Calibri" w:cs="Calibri"/>
          <w:b/>
          <w:bCs/>
          <w:spacing w:val="-1"/>
          <w:sz w:val="22"/>
          <w:szCs w:val="22"/>
          <w:lang w:eastAsia="hu-HU"/>
        </w:rPr>
        <w:t xml:space="preserve">műtárgy, ami nem idomul semmihez, erős karaktere van. Ez lett az </w:t>
      </w:r>
      <w:proofErr w:type="spellStart"/>
      <w:r w:rsidRPr="009F1C9E">
        <w:rPr>
          <w:rFonts w:ascii="Calibri" w:eastAsia="Times New Roman" w:hAnsi="Calibri" w:cs="Calibri"/>
          <w:b/>
          <w:bCs/>
          <w:spacing w:val="-1"/>
          <w:sz w:val="22"/>
          <w:szCs w:val="22"/>
          <w:lang w:eastAsia="hu-HU"/>
        </w:rPr>
        <w:t>Allure</w:t>
      </w:r>
      <w:proofErr w:type="spellEnd"/>
      <w:r w:rsidRPr="009F1C9E">
        <w:rPr>
          <w:rFonts w:ascii="Calibri" w:eastAsia="Times New Roman" w:hAnsi="Calibri" w:cs="Calibri"/>
          <w:b/>
          <w:bCs/>
          <w:spacing w:val="-1"/>
          <w:sz w:val="22"/>
          <w:szCs w:val="22"/>
          <w:lang w:eastAsia="hu-HU"/>
        </w:rPr>
        <w:t xml:space="preserve"> </w:t>
      </w:r>
      <w:proofErr w:type="spellStart"/>
      <w:r w:rsidRPr="009F1C9E">
        <w:rPr>
          <w:rFonts w:ascii="Calibri" w:eastAsia="Times New Roman" w:hAnsi="Calibri" w:cs="Calibri"/>
          <w:b/>
          <w:bCs/>
          <w:spacing w:val="-1"/>
          <w:sz w:val="22"/>
          <w:szCs w:val="22"/>
          <w:lang w:eastAsia="hu-HU"/>
        </w:rPr>
        <w:t>Residence</w:t>
      </w:r>
      <w:proofErr w:type="spellEnd"/>
      <w:r w:rsidRPr="009F1C9E">
        <w:rPr>
          <w:rFonts w:ascii="Calibri" w:eastAsia="Times New Roman" w:hAnsi="Calibri" w:cs="Calibri"/>
          <w:b/>
          <w:bCs/>
          <w:spacing w:val="-1"/>
          <w:sz w:val="22"/>
          <w:szCs w:val="22"/>
          <w:lang w:eastAsia="hu-HU"/>
        </w:rPr>
        <w:t>, amelynek három cirkálót idéz</w:t>
      </w:r>
      <w:r w:rsidR="009525FA" w:rsidRPr="009F1C9E">
        <w:rPr>
          <w:rFonts w:ascii="Calibri" w:eastAsia="Times New Roman" w:hAnsi="Calibri" w:cs="Calibri"/>
          <w:b/>
          <w:bCs/>
          <w:spacing w:val="-1"/>
          <w:sz w:val="22"/>
          <w:szCs w:val="22"/>
          <w:lang w:eastAsia="hu-HU"/>
        </w:rPr>
        <w:t>ő tömbjét a BORD Építész Stúdió tervezte</w:t>
      </w:r>
      <w:r w:rsidRPr="009F1C9E">
        <w:rPr>
          <w:rFonts w:ascii="Calibri" w:eastAsia="Times New Roman" w:hAnsi="Calibri" w:cs="Calibri"/>
          <w:b/>
          <w:bCs/>
          <w:spacing w:val="-1"/>
          <w:sz w:val="22"/>
          <w:szCs w:val="22"/>
          <w:lang w:eastAsia="hu-HU"/>
        </w:rPr>
        <w:t>.</w:t>
      </w:r>
    </w:p>
    <w:p w14:paraId="35CB1F02" w14:textId="4EB8CA4D" w:rsidR="0068234C" w:rsidRPr="009F1C9E" w:rsidRDefault="0068234C" w:rsidP="009B2F5D">
      <w:pPr>
        <w:ind w:right="-30"/>
        <w:jc w:val="both"/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</w:pPr>
      <w:r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A helyi rendezési terv a Közvágóhíd történetileg fontos, védett épületeinek helyreállítása mellett, azok funkcióváltását és bővítését is lehetővé tette</w:t>
      </w:r>
      <w:r w:rsidR="001B5018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, a</w:t>
      </w:r>
      <w:r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z egykori raktárak helyén pedig egy lazán szerkesztett beépítést írt elő a tömbre. Sajnos 2019-ben a Közvágóhíd történetileg fontos, védett épületeinek többségét elbontották. A Víztorony és a Hústőzsde épületei szigetként idézik a múltat a dinamikusan fejlődő városrészen.</w:t>
      </w:r>
    </w:p>
    <w:p w14:paraId="1FAB3DA0" w14:textId="77777777" w:rsidR="005B448E" w:rsidRPr="009F1C9E" w:rsidRDefault="005B448E" w:rsidP="004A6CB4">
      <w:pPr>
        <w:jc w:val="both"/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</w:pPr>
    </w:p>
    <w:p w14:paraId="0767EE95" w14:textId="77777777" w:rsidR="003B6F28" w:rsidRPr="009F1C9E" w:rsidRDefault="00ED3BEB" w:rsidP="004A6CB4">
      <w:pPr>
        <w:jc w:val="both"/>
        <w:rPr>
          <w:rFonts w:ascii="Calibri" w:eastAsia="Times New Roman" w:hAnsi="Calibri" w:cs="Calibri"/>
          <w:b/>
          <w:sz w:val="22"/>
          <w:szCs w:val="22"/>
          <w:shd w:val="clear" w:color="auto" w:fill="FFFFFF"/>
          <w:lang w:eastAsia="hu-HU"/>
        </w:rPr>
      </w:pPr>
      <w:r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Az </w:t>
      </w:r>
      <w:proofErr w:type="spellStart"/>
      <w:r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Allure</w:t>
      </w:r>
      <w:proofErr w:type="spellEnd"/>
      <w:r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</w:t>
      </w:r>
      <w:proofErr w:type="spellStart"/>
      <w:r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Residence</w:t>
      </w:r>
      <w:proofErr w:type="spellEnd"/>
      <w:r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</w:t>
      </w:r>
      <w:r w:rsidR="005C7B4C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lakóko</w:t>
      </w:r>
      <w:r w:rsidR="002F5CBB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m</w:t>
      </w:r>
      <w:r w:rsidR="005C7B4C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plexuma</w:t>
      </w:r>
      <w:r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</w:t>
      </w:r>
      <w:r w:rsidR="008068BB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közvetlen a történeti emlékek mellett, az egykori </w:t>
      </w:r>
      <w:r w:rsidR="00A60758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marhavásártér</w:t>
      </w:r>
      <w:r w:rsidR="008068BB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helyén épült</w:t>
      </w:r>
      <w:r w:rsidR="0046767F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fel. </w:t>
      </w:r>
      <w:r w:rsidR="00CB2E54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A</w:t>
      </w:r>
      <w:r w:rsidR="003003C8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Közvágóhíd</w:t>
      </w:r>
      <w:r w:rsidR="00CB2E54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</w:t>
      </w:r>
      <w:r w:rsidR="009F126C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épület</w:t>
      </w:r>
      <w:r w:rsidR="003003C8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e</w:t>
      </w:r>
      <w:r w:rsidR="00CB2E54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gyüttese</w:t>
      </w:r>
      <w:r w:rsidR="003003C8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</w:t>
      </w:r>
      <w:r w:rsidR="009F126C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mögötti </w:t>
      </w:r>
      <w:r w:rsidR="002F5CBB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hatalmas </w:t>
      </w:r>
      <w:r w:rsidR="009F126C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területet a szabályozásai terv a Vaskapu és a Nádasdy utca meghosszab</w:t>
      </w:r>
      <w:r w:rsidR="003003C8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b</w:t>
      </w:r>
      <w:r w:rsidR="009F126C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ításával építési telkekre bontotta</w:t>
      </w:r>
      <w:r w:rsidR="002F5CBB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, amelyeken </w:t>
      </w:r>
      <w:r w:rsidR="007E3849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lakó funkciót és zártsorú beépítést írt elő</w:t>
      </w:r>
      <w:r w:rsidR="009F126C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. </w:t>
      </w:r>
      <w:r w:rsidR="0046767F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A</w:t>
      </w:r>
      <w:r w:rsidR="007E3849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z </w:t>
      </w:r>
      <w:proofErr w:type="spellStart"/>
      <w:r w:rsidR="007E3849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Allure</w:t>
      </w:r>
      <w:proofErr w:type="spellEnd"/>
      <w:r w:rsidR="007E3849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</w:t>
      </w:r>
      <w:r w:rsidR="00E657CB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Vágóhíd utcáról nyíló tel</w:t>
      </w:r>
      <w:r w:rsidR="003003C8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k</w:t>
      </w:r>
      <w:r w:rsidR="007E3849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ét</w:t>
      </w:r>
      <w:r w:rsidR="003003C8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</w:t>
      </w:r>
      <w:r w:rsidR="007E3849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így a Vaskapu és Nádasdy utca </w:t>
      </w:r>
      <w:r w:rsidR="002F5CBB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új szakaszai veszik körbe</w:t>
      </w:r>
      <w:r w:rsidR="007E3849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. D</w:t>
      </w:r>
      <w:r w:rsidR="003003C8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élkeleti irányban</w:t>
      </w:r>
      <w:r w:rsidR="003B6F28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pedig</w:t>
      </w:r>
      <w:r w:rsidR="009C6968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, a Hústőzsde védett épülete mentén</w:t>
      </w:r>
      <w:r w:rsidR="003B6F28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,</w:t>
      </w:r>
      <w:r w:rsidR="009C6968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</w:t>
      </w:r>
      <w:r w:rsidR="003003C8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egy közhasználatra át</w:t>
      </w:r>
      <w:r w:rsidR="004F0E36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engedett</w:t>
      </w:r>
      <w:r w:rsidR="003003C8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telekrész</w:t>
      </w:r>
      <w:r w:rsidR="009C6968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került kialakításra.</w:t>
      </w:r>
      <w:r w:rsidR="00CF6B6F" w:rsidRPr="009F1C9E">
        <w:rPr>
          <w:rFonts w:ascii="Calibri" w:eastAsia="Times New Roman" w:hAnsi="Calibri" w:cs="Calibri"/>
          <w:b/>
          <w:sz w:val="22"/>
          <w:szCs w:val="22"/>
          <w:shd w:val="clear" w:color="auto" w:fill="FFFFFF"/>
          <w:lang w:eastAsia="hu-HU"/>
        </w:rPr>
        <w:t xml:space="preserve"> </w:t>
      </w:r>
    </w:p>
    <w:p w14:paraId="39387A3C" w14:textId="77777777" w:rsidR="003B6F28" w:rsidRPr="009F1C9E" w:rsidRDefault="003B6F28" w:rsidP="004A6CB4">
      <w:pPr>
        <w:jc w:val="both"/>
        <w:rPr>
          <w:rFonts w:ascii="Calibri" w:eastAsia="Times New Roman" w:hAnsi="Calibri" w:cs="Calibri"/>
          <w:b/>
          <w:sz w:val="22"/>
          <w:szCs w:val="22"/>
          <w:shd w:val="clear" w:color="auto" w:fill="FFFFFF"/>
          <w:lang w:eastAsia="hu-HU"/>
        </w:rPr>
      </w:pPr>
    </w:p>
    <w:p w14:paraId="46B61ACD" w14:textId="77777777" w:rsidR="00ED3BEB" w:rsidRPr="009F1C9E" w:rsidRDefault="00B0697A" w:rsidP="009B2F5D">
      <w:pPr>
        <w:ind w:left="426" w:right="537"/>
        <w:jc w:val="both"/>
        <w:rPr>
          <w:rFonts w:ascii="Calibri" w:eastAsia="Times New Roman" w:hAnsi="Calibri" w:cs="Calibri"/>
          <w:i/>
          <w:iCs/>
          <w:sz w:val="22"/>
          <w:szCs w:val="22"/>
          <w:shd w:val="clear" w:color="auto" w:fill="FFFFFF"/>
          <w:lang w:eastAsia="hu-HU"/>
        </w:rPr>
      </w:pPr>
      <w:r w:rsidRPr="009F1C9E">
        <w:rPr>
          <w:rFonts w:ascii="Calibri" w:eastAsia="Times New Roman" w:hAnsi="Calibri" w:cs="Calibri"/>
          <w:b/>
          <w:i/>
          <w:iCs/>
          <w:sz w:val="22"/>
          <w:szCs w:val="22"/>
          <w:shd w:val="clear" w:color="auto" w:fill="FFFFFF"/>
          <w:lang w:eastAsia="hu-HU"/>
        </w:rPr>
        <w:t>A modern kor új építménye ezzel a távolságtartással kíván teret adni a méltó helyreállításra és újra hasznosításra várakozó múltbéli emlékek számára.</w:t>
      </w:r>
    </w:p>
    <w:p w14:paraId="532EFD7E" w14:textId="77777777" w:rsidR="007D1EA8" w:rsidRPr="009F1C9E" w:rsidRDefault="007D1EA8" w:rsidP="004A6CB4">
      <w:pPr>
        <w:jc w:val="both"/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</w:pPr>
    </w:p>
    <w:p w14:paraId="4CBFAE81" w14:textId="2982CFCB" w:rsidR="00773F48" w:rsidRPr="009F1C9E" w:rsidRDefault="0090611B" w:rsidP="004A6CB4">
      <w:pPr>
        <w:jc w:val="both"/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</w:pPr>
      <w:r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A 3 db 10 szintes épülettömbből álló, összesen </w:t>
      </w:r>
      <w:r w:rsidR="005C662F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5</w:t>
      </w:r>
      <w:r w:rsidR="001F153B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31</w:t>
      </w:r>
      <w:r w:rsidR="005C662F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lakás</w:t>
      </w:r>
      <w:r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t</w:t>
      </w:r>
      <w:r w:rsidR="00CD6430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, 10 üzlethelyiséget és a 2 mélygarázs szinten 621 db parkolóhelyet</w:t>
      </w:r>
      <w:r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magába foglaló</w:t>
      </w:r>
      <w:r w:rsidR="005C662F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lakóépület olyan meg</w:t>
      </w:r>
      <w:r w:rsidR="00E762DA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a</w:t>
      </w:r>
      <w:r w:rsidR="005C662F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struktúra, </w:t>
      </w:r>
      <w:r w:rsidR="002A2704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ahol </w:t>
      </w:r>
      <w:r w:rsidR="005C662F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a </w:t>
      </w:r>
      <w:r w:rsidR="00E762DA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tér</w:t>
      </w:r>
      <w:r w:rsidR="007B625A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arányok</w:t>
      </w:r>
      <w:r w:rsidR="00005A5C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és</w:t>
      </w:r>
      <w:r w:rsidR="00E762DA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a </w:t>
      </w:r>
      <w:r w:rsidR="005C662F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funkcionális </w:t>
      </w:r>
      <w:r w:rsidR="00E762DA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rend</w:t>
      </w:r>
      <w:r w:rsidR="005C662F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</w:t>
      </w:r>
      <w:r w:rsidR="009E687D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már igen </w:t>
      </w:r>
      <w:r w:rsidR="00E762DA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jelentős p</w:t>
      </w:r>
      <w:r w:rsidR="00936F0E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rioritást</w:t>
      </w:r>
      <w:r w:rsidR="00E762DA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kap</w:t>
      </w:r>
      <w:r w:rsidR="005C662F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. A</w:t>
      </w:r>
      <w:r w:rsidR="00936F0E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</w:t>
      </w:r>
      <w:r w:rsidR="00C00E74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hatalmas</w:t>
      </w:r>
      <w:r w:rsidR="00936F0E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</w:t>
      </w:r>
      <w:r w:rsidR="005C662F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épület</w:t>
      </w:r>
      <w:r w:rsidR="00B54804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tömeg</w:t>
      </w:r>
      <w:r w:rsidR="005C662F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</w:t>
      </w:r>
      <w:r w:rsidR="001F2366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kisebb egységekre </w:t>
      </w:r>
      <w:r w:rsidR="005C662F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bontása, </w:t>
      </w:r>
      <w:r w:rsidR="00B54804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a benapozás, átszellőzés, a zöl</w:t>
      </w:r>
      <w:r w:rsidR="00151376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d</w:t>
      </w:r>
      <w:r w:rsidR="00B54804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területek </w:t>
      </w:r>
      <w:r w:rsidR="00A06CC1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integrálása</w:t>
      </w:r>
      <w:r w:rsidR="00B54804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, </w:t>
      </w:r>
      <w:r w:rsidR="005C662F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a köz</w:t>
      </w:r>
      <w:r w:rsidR="00B54804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ös használatú terek</w:t>
      </w:r>
      <w:r w:rsidR="005C662F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</w:t>
      </w:r>
      <w:r w:rsidR="00C00E74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kialakítása</w:t>
      </w:r>
      <w:r w:rsidR="005C662F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, lépcsőházak </w:t>
      </w:r>
      <w:r w:rsidR="00005A5C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és a hozzájuk kapcsolódó különböző lakástípusok elrendezése</w:t>
      </w:r>
      <w:r w:rsidR="00C00E74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kiemelt fontosságú</w:t>
      </w:r>
      <w:r w:rsidR="005C662F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, </w:t>
      </w:r>
      <w:r w:rsidR="00A06CC1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mert a </w:t>
      </w:r>
      <w:r w:rsidR="00C00E74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legfőbb </w:t>
      </w:r>
      <w:r w:rsidR="00A06CC1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cél </w:t>
      </w:r>
      <w:r w:rsidR="005C662F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egy </w:t>
      </w:r>
      <w:r w:rsidR="00E95CA5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emberi léptékű </w:t>
      </w:r>
      <w:r w:rsidR="00880FA6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harmonikus </w:t>
      </w:r>
      <w:r w:rsidR="005C662F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környezet megteremtése</w:t>
      </w:r>
      <w:r w:rsidR="00E762DA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, amely a közösségi lét</w:t>
      </w:r>
      <w:r w:rsidR="00005A5C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ünk</w:t>
      </w:r>
      <w:r w:rsidR="00E762DA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alapja.</w:t>
      </w:r>
    </w:p>
    <w:p w14:paraId="70965BA2" w14:textId="77777777" w:rsidR="00086F94" w:rsidRPr="009F1C9E" w:rsidRDefault="00086F94" w:rsidP="004A6CB4">
      <w:pPr>
        <w:jc w:val="both"/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</w:pPr>
    </w:p>
    <w:p w14:paraId="53464EB6" w14:textId="77777777" w:rsidR="003B6F28" w:rsidRPr="009F1C9E" w:rsidRDefault="009E687D" w:rsidP="004A6CB4">
      <w:pPr>
        <w:jc w:val="both"/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</w:pPr>
      <w:r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Ez a gondolkodásmód határozta meg az </w:t>
      </w:r>
      <w:proofErr w:type="spellStart"/>
      <w:r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Allure</w:t>
      </w:r>
      <w:proofErr w:type="spellEnd"/>
      <w:r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</w:t>
      </w:r>
      <w:proofErr w:type="spellStart"/>
      <w:r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Residence</w:t>
      </w:r>
      <w:proofErr w:type="spellEnd"/>
      <w:r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megjelenését. </w:t>
      </w:r>
      <w:r w:rsidR="00484251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Az épület </w:t>
      </w:r>
      <w:r w:rsidR="00C957CF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földszintjén</w:t>
      </w:r>
      <w:r w:rsidR="00086F94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, </w:t>
      </w:r>
      <w:r w:rsidR="0022312E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a szoborszerű kompozíció „talapzatában”, </w:t>
      </w:r>
      <w:r w:rsidR="00086F94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mintegy 3000m2 alapterületen, </w:t>
      </w:r>
      <w:r w:rsidR="00C957CF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a környéket kiszolgáló funkciók, éttermek, üzletek </w:t>
      </w:r>
      <w:r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sorakoznak</w:t>
      </w:r>
      <w:r w:rsidR="00C957CF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. E</w:t>
      </w:r>
      <w:r w:rsidR="00844B48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z a</w:t>
      </w:r>
      <w:r w:rsidR="00C957CF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szint</w:t>
      </w:r>
      <w:r w:rsidR="0018431B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</w:t>
      </w:r>
      <w:r w:rsidR="000548A4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egységes </w:t>
      </w:r>
      <w:r w:rsidR="0018431B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üveg homlokzat</w:t>
      </w:r>
      <w:r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ával</w:t>
      </w:r>
      <w:r w:rsidR="0018431B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nyit az utca irányába</w:t>
      </w:r>
      <w:r w:rsidR="00844B48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, kommunikál a nyüzsgő várossal</w:t>
      </w:r>
      <w:r w:rsidR="0018431B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. </w:t>
      </w:r>
      <w:r w:rsidR="003F1D34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A beépítés vonala </w:t>
      </w:r>
      <w:r w:rsidR="00C328DD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a Vágóhíd utca mentén követi a telekhatárt, </w:t>
      </w:r>
      <w:r w:rsidR="00ED71CE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ki</w:t>
      </w:r>
      <w:r w:rsidR="00B902D7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e</w:t>
      </w:r>
      <w:r w:rsidR="00ED71CE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l</w:t>
      </w:r>
      <w:r w:rsidR="00B902D7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é</w:t>
      </w:r>
      <w:r w:rsidR="00ED71CE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gítve ezzel a zártsorú előírást. </w:t>
      </w:r>
    </w:p>
    <w:p w14:paraId="4B467582" w14:textId="77777777" w:rsidR="003B6F28" w:rsidRPr="009F1C9E" w:rsidRDefault="003B6F28" w:rsidP="004A6CB4">
      <w:pPr>
        <w:jc w:val="both"/>
        <w:rPr>
          <w:rFonts w:ascii="Calibri" w:eastAsia="Times New Roman" w:hAnsi="Calibri" w:cs="Calibri"/>
          <w:b/>
          <w:sz w:val="22"/>
          <w:szCs w:val="22"/>
          <w:shd w:val="clear" w:color="auto" w:fill="FFFFFF"/>
          <w:lang w:eastAsia="hu-HU"/>
        </w:rPr>
      </w:pPr>
    </w:p>
    <w:p w14:paraId="6916CA73" w14:textId="77777777" w:rsidR="007D1EA8" w:rsidRPr="009F1C9E" w:rsidRDefault="00ED71CE" w:rsidP="009B2F5D">
      <w:pPr>
        <w:ind w:left="426" w:right="395"/>
        <w:jc w:val="both"/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</w:pPr>
      <w:r w:rsidRPr="009F1C9E">
        <w:rPr>
          <w:rFonts w:ascii="Calibri" w:eastAsia="Times New Roman" w:hAnsi="Calibri" w:cs="Calibri"/>
          <w:b/>
          <w:sz w:val="22"/>
          <w:szCs w:val="22"/>
          <w:shd w:val="clear" w:color="auto" w:fill="FFFFFF"/>
          <w:lang w:eastAsia="hu-HU"/>
        </w:rPr>
        <w:t xml:space="preserve">A Vágóhíd utcára merőleges </w:t>
      </w:r>
      <w:r w:rsidR="00C328DD" w:rsidRPr="009F1C9E">
        <w:rPr>
          <w:rFonts w:ascii="Calibri" w:eastAsia="Times New Roman" w:hAnsi="Calibri" w:cs="Calibri"/>
          <w:b/>
          <w:sz w:val="22"/>
          <w:szCs w:val="22"/>
          <w:shd w:val="clear" w:color="auto" w:fill="FFFFFF"/>
          <w:lang w:eastAsia="hu-HU"/>
        </w:rPr>
        <w:t xml:space="preserve">frontokon </w:t>
      </w:r>
      <w:r w:rsidRPr="009F1C9E">
        <w:rPr>
          <w:rFonts w:ascii="Calibri" w:eastAsia="Times New Roman" w:hAnsi="Calibri" w:cs="Calibri"/>
          <w:b/>
          <w:sz w:val="22"/>
          <w:szCs w:val="22"/>
          <w:shd w:val="clear" w:color="auto" w:fill="FFFFFF"/>
          <w:lang w:eastAsia="hu-HU"/>
        </w:rPr>
        <w:t xml:space="preserve">ezzel szemben </w:t>
      </w:r>
      <w:r w:rsidR="00B902D7" w:rsidRPr="009F1C9E">
        <w:rPr>
          <w:rFonts w:ascii="Calibri" w:eastAsia="Times New Roman" w:hAnsi="Calibri" w:cs="Calibri"/>
          <w:b/>
          <w:sz w:val="22"/>
          <w:szCs w:val="22"/>
          <w:shd w:val="clear" w:color="auto" w:fill="FFFFFF"/>
          <w:lang w:eastAsia="hu-HU"/>
        </w:rPr>
        <w:t xml:space="preserve">az épület </w:t>
      </w:r>
      <w:r w:rsidR="00C328DD" w:rsidRPr="009F1C9E">
        <w:rPr>
          <w:rFonts w:ascii="Calibri" w:eastAsia="Times New Roman" w:hAnsi="Calibri" w:cs="Calibri"/>
          <w:b/>
          <w:sz w:val="22"/>
          <w:szCs w:val="22"/>
          <w:shd w:val="clear" w:color="auto" w:fill="FFFFFF"/>
          <w:lang w:eastAsia="hu-HU"/>
        </w:rPr>
        <w:t>cikcakk vonalban eltávolod</w:t>
      </w:r>
      <w:r w:rsidRPr="009F1C9E">
        <w:rPr>
          <w:rFonts w:ascii="Calibri" w:eastAsia="Times New Roman" w:hAnsi="Calibri" w:cs="Calibri"/>
          <w:b/>
          <w:sz w:val="22"/>
          <w:szCs w:val="22"/>
          <w:shd w:val="clear" w:color="auto" w:fill="FFFFFF"/>
          <w:lang w:eastAsia="hu-HU"/>
        </w:rPr>
        <w:t>ik</w:t>
      </w:r>
      <w:r w:rsidR="00C328DD" w:rsidRPr="009F1C9E">
        <w:rPr>
          <w:rFonts w:ascii="Calibri" w:eastAsia="Times New Roman" w:hAnsi="Calibri" w:cs="Calibri"/>
          <w:b/>
          <w:sz w:val="22"/>
          <w:szCs w:val="22"/>
          <w:shd w:val="clear" w:color="auto" w:fill="FFFFFF"/>
          <w:lang w:eastAsia="hu-HU"/>
        </w:rPr>
        <w:t xml:space="preserve"> a telekhatártól</w:t>
      </w:r>
      <w:r w:rsidRPr="009F1C9E">
        <w:rPr>
          <w:rFonts w:ascii="Calibri" w:eastAsia="Times New Roman" w:hAnsi="Calibri" w:cs="Calibri"/>
          <w:b/>
          <w:sz w:val="22"/>
          <w:szCs w:val="22"/>
          <w:shd w:val="clear" w:color="auto" w:fill="FFFFFF"/>
          <w:lang w:eastAsia="hu-HU"/>
        </w:rPr>
        <w:t>. Ezzel a szokatlan, nagylelkű gesztussal az épület nemcsak é</w:t>
      </w:r>
      <w:r w:rsidR="00C328DD" w:rsidRPr="009F1C9E">
        <w:rPr>
          <w:rFonts w:ascii="Calibri" w:eastAsia="Times New Roman" w:hAnsi="Calibri" w:cs="Calibri"/>
          <w:b/>
          <w:sz w:val="22"/>
          <w:szCs w:val="22"/>
          <w:shd w:val="clear" w:color="auto" w:fill="FFFFFF"/>
          <w:lang w:eastAsia="hu-HU"/>
        </w:rPr>
        <w:t>lhető közösségi tereknek ad helyet</w:t>
      </w:r>
      <w:r w:rsidR="00B902D7" w:rsidRPr="009F1C9E">
        <w:rPr>
          <w:rFonts w:ascii="Calibri" w:eastAsia="Times New Roman" w:hAnsi="Calibri" w:cs="Calibri"/>
          <w:b/>
          <w:sz w:val="22"/>
          <w:szCs w:val="22"/>
          <w:shd w:val="clear" w:color="auto" w:fill="FFFFFF"/>
          <w:lang w:eastAsia="hu-HU"/>
        </w:rPr>
        <w:t xml:space="preserve"> az utcaszinten</w:t>
      </w:r>
      <w:r w:rsidRPr="009F1C9E">
        <w:rPr>
          <w:rFonts w:ascii="Calibri" w:eastAsia="Times New Roman" w:hAnsi="Calibri" w:cs="Calibri"/>
          <w:b/>
          <w:sz w:val="22"/>
          <w:szCs w:val="22"/>
          <w:shd w:val="clear" w:color="auto" w:fill="FFFFFF"/>
          <w:lang w:eastAsia="hu-HU"/>
        </w:rPr>
        <w:t xml:space="preserve">, de </w:t>
      </w:r>
      <w:r w:rsidR="00D55BF9" w:rsidRPr="009F1C9E">
        <w:rPr>
          <w:rFonts w:ascii="Calibri" w:eastAsia="Times New Roman" w:hAnsi="Calibri" w:cs="Calibri"/>
          <w:b/>
          <w:sz w:val="22"/>
          <w:szCs w:val="22"/>
          <w:shd w:val="clear" w:color="auto" w:fill="FFFFFF"/>
          <w:lang w:eastAsia="hu-HU"/>
        </w:rPr>
        <w:t>jellegzetes</w:t>
      </w:r>
      <w:r w:rsidRPr="009F1C9E">
        <w:rPr>
          <w:rFonts w:ascii="Calibri" w:eastAsia="Times New Roman" w:hAnsi="Calibri" w:cs="Calibri"/>
          <w:b/>
          <w:sz w:val="22"/>
          <w:szCs w:val="22"/>
          <w:shd w:val="clear" w:color="auto" w:fill="FFFFFF"/>
          <w:lang w:eastAsia="hu-HU"/>
        </w:rPr>
        <w:t xml:space="preserve"> formát is nyer</w:t>
      </w:r>
      <w:r w:rsidR="00C328DD" w:rsidRPr="009F1C9E">
        <w:rPr>
          <w:rFonts w:ascii="Calibri" w:eastAsia="Times New Roman" w:hAnsi="Calibri" w:cs="Calibri"/>
          <w:b/>
          <w:sz w:val="22"/>
          <w:szCs w:val="22"/>
          <w:shd w:val="clear" w:color="auto" w:fill="FFFFFF"/>
          <w:lang w:eastAsia="hu-HU"/>
        </w:rPr>
        <w:t>.</w:t>
      </w:r>
    </w:p>
    <w:p w14:paraId="2A618FE5" w14:textId="77777777" w:rsidR="0022312E" w:rsidRPr="009F1C9E" w:rsidRDefault="0022312E" w:rsidP="004A6CB4">
      <w:pPr>
        <w:jc w:val="both"/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</w:pPr>
    </w:p>
    <w:p w14:paraId="7BDA102A" w14:textId="77777777" w:rsidR="00C57BA6" w:rsidRPr="009F1C9E" w:rsidRDefault="00571293" w:rsidP="004A6CB4">
      <w:pPr>
        <w:jc w:val="both"/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</w:pPr>
      <w:r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A földszint felett</w:t>
      </w:r>
      <w:r w:rsidR="00D10358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</w:t>
      </w:r>
      <w:r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karakteres </w:t>
      </w:r>
      <w:r w:rsidR="009E687D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lapos</w:t>
      </w:r>
      <w:r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tető </w:t>
      </w:r>
      <w:r w:rsidR="000548A4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emeli el </w:t>
      </w:r>
      <w:r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a lakó</w:t>
      </w:r>
      <w:r w:rsidR="00597891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funkciót</w:t>
      </w:r>
      <w:r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</w:t>
      </w:r>
      <w:r w:rsidR="000548A4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a</w:t>
      </w:r>
      <w:r w:rsidR="009E687D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nyüzsgő</w:t>
      </w:r>
      <w:r w:rsidR="000548A4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utca</w:t>
      </w:r>
      <w:r w:rsidR="00D10358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</w:t>
      </w:r>
      <w:r w:rsidR="000548A4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szintjétől. </w:t>
      </w:r>
      <w:r w:rsidR="00475B44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Az épület </w:t>
      </w:r>
      <w:r w:rsidR="00965C95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széles </w:t>
      </w:r>
      <w:r w:rsidR="00475B44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bejárti lépcsői visszahúzva, védett, öbölszerű terekből nyílnak és egyenesen </w:t>
      </w:r>
      <w:r w:rsidR="00597891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az </w:t>
      </w:r>
      <w:r w:rsidR="00475B44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első emeletre, az </w:t>
      </w:r>
      <w:r w:rsidR="00597891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érkezési szint</w:t>
      </w:r>
      <w:r w:rsidR="00475B44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re vezetnek, ahol</w:t>
      </w:r>
      <w:r w:rsidR="00597891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a</w:t>
      </w:r>
      <w:r w:rsidR="000548A4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közös </w:t>
      </w:r>
      <w:r w:rsidR="00475B44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udvar védett </w:t>
      </w:r>
      <w:r w:rsidR="000548A4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kert</w:t>
      </w:r>
      <w:r w:rsidR="00475B44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je fogad</w:t>
      </w:r>
      <w:r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. A</w:t>
      </w:r>
      <w:r w:rsidR="000548A4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lakó</w:t>
      </w:r>
      <w:r w:rsidR="00597891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funkció </w:t>
      </w:r>
      <w:r w:rsidR="00965C95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ezen</w:t>
      </w:r>
      <w:r w:rsidR="00475B44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érkezési szint felett</w:t>
      </w:r>
      <w:r w:rsidR="00965C95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,</w:t>
      </w:r>
      <w:r w:rsidR="00475B44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három </w:t>
      </w:r>
      <w:r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egymással párhuzamosan futó, </w:t>
      </w:r>
      <w:r w:rsidR="00D37943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a cikcakk vonalban</w:t>
      </w:r>
      <w:r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</w:t>
      </w:r>
      <w:r w:rsidR="00D37943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megtört</w:t>
      </w:r>
      <w:r w:rsidR="009E687D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, karakteres</w:t>
      </w:r>
      <w:r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tömb</w:t>
      </w:r>
      <w:r w:rsidR="00597891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ben helyezkedik el. </w:t>
      </w:r>
      <w:r w:rsidR="00475B44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A tömbök </w:t>
      </w:r>
      <w:r w:rsidR="00965C95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átjárhatók, köztük </w:t>
      </w:r>
      <w:r w:rsidR="00475B44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n</w:t>
      </w:r>
      <w:r w:rsidR="00597891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apos, szellős, </w:t>
      </w:r>
      <w:r w:rsidR="008131CC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hangulatos „zöld csatornák” </w:t>
      </w:r>
      <w:r w:rsidR="00475B44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húzódnak.</w:t>
      </w:r>
      <w:r w:rsidR="009B3423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</w:t>
      </w:r>
    </w:p>
    <w:p w14:paraId="77AB2280" w14:textId="77777777" w:rsidR="00C57BA6" w:rsidRPr="009F1C9E" w:rsidRDefault="00C57BA6" w:rsidP="004A6CB4">
      <w:pPr>
        <w:jc w:val="both"/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</w:pPr>
    </w:p>
    <w:p w14:paraId="7B578374" w14:textId="77777777" w:rsidR="009E687D" w:rsidRPr="009F1C9E" w:rsidRDefault="009B3423" w:rsidP="009B2F5D">
      <w:pPr>
        <w:ind w:left="426" w:right="395"/>
        <w:jc w:val="both"/>
        <w:rPr>
          <w:rFonts w:ascii="Calibri" w:eastAsia="Times New Roman" w:hAnsi="Calibri" w:cs="Calibri"/>
          <w:b/>
          <w:sz w:val="22"/>
          <w:szCs w:val="22"/>
          <w:shd w:val="clear" w:color="auto" w:fill="FFFFFF"/>
          <w:lang w:eastAsia="hu-HU"/>
        </w:rPr>
      </w:pPr>
      <w:r w:rsidRPr="009F1C9E">
        <w:rPr>
          <w:rFonts w:ascii="Calibri" w:eastAsia="Times New Roman" w:hAnsi="Calibri" w:cs="Calibri"/>
          <w:b/>
          <w:sz w:val="22"/>
          <w:szCs w:val="22"/>
          <w:shd w:val="clear" w:color="auto" w:fill="FFFFFF"/>
          <w:lang w:eastAsia="hu-HU"/>
        </w:rPr>
        <w:t xml:space="preserve">A </w:t>
      </w:r>
      <w:r w:rsidR="00C57BA6" w:rsidRPr="009F1C9E">
        <w:rPr>
          <w:rFonts w:ascii="Calibri" w:eastAsia="Times New Roman" w:hAnsi="Calibri" w:cs="Calibri"/>
          <w:b/>
          <w:sz w:val="22"/>
          <w:szCs w:val="22"/>
          <w:shd w:val="clear" w:color="auto" w:fill="FFFFFF"/>
          <w:lang w:eastAsia="hu-HU"/>
        </w:rPr>
        <w:t>nyitott, tagolt</w:t>
      </w:r>
      <w:r w:rsidRPr="009F1C9E">
        <w:rPr>
          <w:rFonts w:ascii="Calibri" w:eastAsia="Times New Roman" w:hAnsi="Calibri" w:cs="Calibri"/>
          <w:b/>
          <w:sz w:val="22"/>
          <w:szCs w:val="22"/>
          <w:shd w:val="clear" w:color="auto" w:fill="FFFFFF"/>
          <w:lang w:eastAsia="hu-HU"/>
        </w:rPr>
        <w:t xml:space="preserve"> tömegalakítás szándékosan eltér a megszokott </w:t>
      </w:r>
      <w:r w:rsidR="00C57BA6" w:rsidRPr="009F1C9E">
        <w:rPr>
          <w:rFonts w:ascii="Calibri" w:eastAsia="Times New Roman" w:hAnsi="Calibri" w:cs="Calibri"/>
          <w:b/>
          <w:sz w:val="22"/>
          <w:szCs w:val="22"/>
          <w:shd w:val="clear" w:color="auto" w:fill="FFFFFF"/>
          <w:lang w:eastAsia="hu-HU"/>
        </w:rPr>
        <w:t xml:space="preserve">zárt, </w:t>
      </w:r>
      <w:r w:rsidRPr="009F1C9E">
        <w:rPr>
          <w:rFonts w:ascii="Calibri" w:eastAsia="Times New Roman" w:hAnsi="Calibri" w:cs="Calibri"/>
          <w:b/>
          <w:sz w:val="22"/>
          <w:szCs w:val="22"/>
          <w:shd w:val="clear" w:color="auto" w:fill="FFFFFF"/>
          <w:lang w:eastAsia="hu-HU"/>
        </w:rPr>
        <w:t>belső udvaros elrendezéstől</w:t>
      </w:r>
      <w:r w:rsidR="00C57BA6" w:rsidRPr="009F1C9E">
        <w:rPr>
          <w:rFonts w:ascii="Calibri" w:eastAsia="Times New Roman" w:hAnsi="Calibri" w:cs="Calibri"/>
          <w:b/>
          <w:sz w:val="22"/>
          <w:szCs w:val="22"/>
          <w:shd w:val="clear" w:color="auto" w:fill="FFFFFF"/>
          <w:lang w:eastAsia="hu-HU"/>
        </w:rPr>
        <w:t>, szellős, áttekinthető, könnyed, megjelenést sugározva</w:t>
      </w:r>
      <w:r w:rsidRPr="009F1C9E">
        <w:rPr>
          <w:rFonts w:ascii="Calibri" w:eastAsia="Times New Roman" w:hAnsi="Calibri" w:cs="Calibri"/>
          <w:b/>
          <w:sz w:val="22"/>
          <w:szCs w:val="22"/>
          <w:shd w:val="clear" w:color="auto" w:fill="FFFFFF"/>
          <w:lang w:eastAsia="hu-HU"/>
        </w:rPr>
        <w:t>.</w:t>
      </w:r>
    </w:p>
    <w:p w14:paraId="675AFC30" w14:textId="77777777" w:rsidR="007D1EA8" w:rsidRPr="009F1C9E" w:rsidRDefault="007D1EA8" w:rsidP="004A6CB4">
      <w:pPr>
        <w:jc w:val="both"/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</w:pPr>
    </w:p>
    <w:p w14:paraId="2889B1CE" w14:textId="77777777" w:rsidR="00D175CC" w:rsidRPr="009F1C9E" w:rsidRDefault="001A732D" w:rsidP="004A6CB4">
      <w:pPr>
        <w:jc w:val="both"/>
        <w:rPr>
          <w:rFonts w:ascii="Calibri" w:eastAsia="Times New Roman" w:hAnsi="Calibri" w:cs="Calibri"/>
          <w:shd w:val="clear" w:color="auto" w:fill="FFFFFF"/>
          <w:lang w:eastAsia="hu-HU"/>
        </w:rPr>
      </w:pPr>
      <w:r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Az érkezési szintről </w:t>
      </w:r>
      <w:r w:rsidR="00965C95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nyitott, színesre festett mennyezetű lépcsőházak vezetnek</w:t>
      </w:r>
      <w:r w:rsidR="003F1490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a középfolyosós</w:t>
      </w:r>
      <w:r w:rsidR="00965C95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és oldalfolyosós</w:t>
      </w:r>
      <w:r w:rsidR="003F1490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elrendezés</w:t>
      </w:r>
      <w:r w:rsidR="00965C95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ű lakószintekhe</w:t>
      </w:r>
      <w:r w:rsidR="00CC097B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z, ahol 35-110m2 között</w:t>
      </w:r>
      <w:r w:rsidR="009E687D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i méretben </w:t>
      </w:r>
      <w:r w:rsidR="00CC097B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találhatók</w:t>
      </w:r>
      <w:r w:rsidR="009E687D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</w:t>
      </w:r>
      <w:r w:rsidR="0006076D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a </w:t>
      </w:r>
      <w:r w:rsidR="009E687D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különböző </w:t>
      </w:r>
      <w:r w:rsidR="0006076D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típusú </w:t>
      </w:r>
      <w:r w:rsidR="009E687D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lakás</w:t>
      </w:r>
      <w:r w:rsidR="0006076D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ok</w:t>
      </w:r>
      <w:r w:rsidR="00CC097B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.</w:t>
      </w:r>
      <w:r w:rsidR="00965C95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</w:t>
      </w:r>
      <w:r w:rsidR="00CC097B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Minden lakás </w:t>
      </w:r>
      <w:r w:rsidR="00965C95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előtt terasz húzódik</w:t>
      </w:r>
      <w:r w:rsidR="00773FB9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, mely a napsütés </w:t>
      </w:r>
      <w:r w:rsidR="009E687D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és a hőterhelés </w:t>
      </w:r>
      <w:r w:rsidR="00773FB9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ellen véd.</w:t>
      </w:r>
      <w:r w:rsidR="00965C95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A</w:t>
      </w:r>
      <w:r w:rsidR="00CC097B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teraszok</w:t>
      </w:r>
      <w:r w:rsidR="00965C95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egymás felett sorakozó</w:t>
      </w:r>
      <w:r w:rsidR="00CC097B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,</w:t>
      </w:r>
      <w:r w:rsidR="00965C95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</w:t>
      </w:r>
      <w:r w:rsidR="008131CC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konzolosan kinyúló, </w:t>
      </w:r>
      <w:r w:rsidR="00965C95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tömör </w:t>
      </w:r>
      <w:r w:rsidR="00D37943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mellvédjei</w:t>
      </w:r>
      <w:r w:rsidR="00773FB9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</w:t>
      </w:r>
      <w:r w:rsidR="009E687D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hullámzó</w:t>
      </w:r>
      <w:r w:rsidR="00773FB9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, </w:t>
      </w:r>
      <w:r w:rsidR="007A6993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sza</w:t>
      </w:r>
      <w:r w:rsidR="00CC097B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la</w:t>
      </w:r>
      <w:r w:rsidR="007A6993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gszerű </w:t>
      </w:r>
      <w:r w:rsidR="00773FB9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megjelenést hoznak létre a homlokzatokon</w:t>
      </w:r>
      <w:r w:rsidR="007A6993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. </w:t>
      </w:r>
      <w:r w:rsidR="008131CC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A tíz emeletes lakótömb</w:t>
      </w:r>
      <w:r w:rsidR="00D175CC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ök</w:t>
      </w:r>
      <w:r w:rsidR="00773FB9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felső szintjei</w:t>
      </w:r>
      <w:r w:rsidR="008131CC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</w:t>
      </w:r>
      <w:r w:rsidR="00773FB9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nagy teraszokkal lépcsőznek le</w:t>
      </w:r>
      <w:r w:rsidR="00D37943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délkeleti irányban.</w:t>
      </w:r>
      <w:r w:rsidR="0006076D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</w:t>
      </w:r>
      <w:r w:rsidR="0003376B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A</w:t>
      </w:r>
      <w:r w:rsidR="001D20BE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</w:t>
      </w:r>
      <w:r w:rsidR="0003376B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lendületes </w:t>
      </w:r>
      <w:r w:rsidR="001D20BE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tömeg</w:t>
      </w:r>
      <w:r w:rsidR="0003376B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alakítás</w:t>
      </w:r>
      <w:r w:rsidR="0006076D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a </w:t>
      </w:r>
      <w:r w:rsidR="00773FB9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cirkálók formáját </w:t>
      </w:r>
      <w:r w:rsidR="0006076D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idéző szoborszerű </w:t>
      </w:r>
      <w:r w:rsidR="0048696A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külsőt</w:t>
      </w:r>
      <w:r w:rsidR="0006076D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</w:t>
      </w:r>
      <w:r w:rsidR="00C73E50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kölcsönöz az óriás lakó</w:t>
      </w:r>
      <w:r w:rsidR="00400D8F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komplexum</w:t>
      </w:r>
      <w:r w:rsidR="00C73E50"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 számára.</w:t>
      </w:r>
    </w:p>
    <w:p w14:paraId="4576E2AF" w14:textId="3D511BAA" w:rsidR="00EA1A9D" w:rsidRPr="009F1C9E" w:rsidRDefault="00EA1A9D" w:rsidP="004D0744">
      <w:pPr>
        <w:jc w:val="center"/>
        <w:rPr>
          <w:rFonts w:ascii="Calibri" w:eastAsia="Times New Roman" w:hAnsi="Calibri" w:cs="Calibri"/>
          <w:shd w:val="clear" w:color="auto" w:fill="FFFFFF"/>
          <w:lang w:eastAsia="hu-HU"/>
        </w:rPr>
      </w:pPr>
    </w:p>
    <w:p w14:paraId="202A7682" w14:textId="10AF04E2" w:rsidR="008423CB" w:rsidRDefault="008423CB">
      <w:pPr>
        <w:rPr>
          <w:rFonts w:ascii="Calibri" w:eastAsia="Times New Roman" w:hAnsi="Calibri" w:cs="Calibri"/>
          <w:shd w:val="clear" w:color="auto" w:fill="FFFFFF"/>
          <w:lang w:eastAsia="hu-HU"/>
        </w:rPr>
      </w:pPr>
      <w:r>
        <w:rPr>
          <w:rFonts w:ascii="Calibri" w:eastAsia="Times New Roman" w:hAnsi="Calibri" w:cs="Calibri"/>
          <w:shd w:val="clear" w:color="auto" w:fill="FFFFFF"/>
          <w:lang w:eastAsia="hu-HU"/>
        </w:rPr>
        <w:br w:type="page"/>
      </w:r>
    </w:p>
    <w:p w14:paraId="0A6DA66A" w14:textId="1558A6F9" w:rsidR="004D0744" w:rsidRPr="009F1C9E" w:rsidRDefault="00A86259" w:rsidP="00A862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679"/>
        <w:rPr>
          <w:rFonts w:ascii="Calibri" w:eastAsia="Times New Roman" w:hAnsi="Calibri" w:cs="Calibri"/>
          <w:b/>
          <w:bCs/>
          <w:shd w:val="clear" w:color="auto" w:fill="FFFFFF"/>
          <w:lang w:eastAsia="hu-HU"/>
        </w:rPr>
      </w:pPr>
      <w:r w:rsidRPr="009F1C9E">
        <w:rPr>
          <w:rFonts w:ascii="Calibri" w:eastAsia="Times New Roman" w:hAnsi="Calibri" w:cs="Calibri"/>
          <w:b/>
          <w:bCs/>
          <w:shd w:val="clear" w:color="auto" w:fill="FFFFFF"/>
          <w:lang w:eastAsia="hu-HU"/>
        </w:rPr>
        <w:lastRenderedPageBreak/>
        <w:t>A KÖZVÁGÓHÍD TÖRTÉNETÉRŐL RÖVIDEN</w:t>
      </w:r>
    </w:p>
    <w:p w14:paraId="66D87445" w14:textId="77777777" w:rsidR="004D0744" w:rsidRPr="009F1C9E" w:rsidRDefault="004D0744" w:rsidP="00A862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679"/>
        <w:rPr>
          <w:rFonts w:ascii="Calibri" w:eastAsia="Times New Roman" w:hAnsi="Calibri" w:cs="Calibri"/>
          <w:shd w:val="clear" w:color="auto" w:fill="FFFFFF"/>
          <w:lang w:eastAsia="hu-HU"/>
        </w:rPr>
      </w:pPr>
    </w:p>
    <w:p w14:paraId="00E10C2E" w14:textId="77777777" w:rsidR="004D0744" w:rsidRPr="009F1C9E" w:rsidRDefault="004D0744" w:rsidP="00A862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679"/>
        <w:jc w:val="both"/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</w:pPr>
      <w:r w:rsidRPr="009F1C9E">
        <w:rPr>
          <w:rFonts w:ascii="Calibri" w:hAnsi="Calibri" w:cs="Calibri"/>
          <w:sz w:val="22"/>
          <w:szCs w:val="22"/>
        </w:rPr>
        <w:t xml:space="preserve">A Közvágóhíd 1872-ben épült komplexumának célja az volt, hogy a városban elszórtan működő, magán kézben lévő, a közegészségre veszélyes mészárszékeket felszámolva, egységesítse, biztonságossá és ellenőrizhetővé tegye a főváros húsellátását. Figyelembe véve a tájra jellemző északnyugati uralkodó szélirányt természetes volt, hogy olyan „bűzös üzem”, mint egy vágóhíd csak Dél-Pesten kaphatott helyet. </w:t>
      </w:r>
      <w:r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A századfordulón Középső-Ferencváros képét az élelmiszeripari kisüzemek, gyárak, gőzmalmok, valamint az ott dolgozó munkáscsaládoknak otthont adó bérkaszárnyák világa határozta meg. A vasúti fejlesztések mellett a Központi Vásárcsarnok és később a Nagyvásártelep megépítésével a kerület a főváros „gyomra”, élelmiszeripari központjaként volt ismert.</w:t>
      </w:r>
    </w:p>
    <w:p w14:paraId="549CF6CF" w14:textId="77777777" w:rsidR="004D0744" w:rsidRPr="009F1C9E" w:rsidRDefault="004D0744" w:rsidP="00A862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679"/>
        <w:jc w:val="both"/>
        <w:rPr>
          <w:rFonts w:ascii="Calibri" w:hAnsi="Calibri" w:cs="Calibri"/>
          <w:sz w:val="22"/>
          <w:szCs w:val="22"/>
        </w:rPr>
      </w:pPr>
    </w:p>
    <w:p w14:paraId="24B54296" w14:textId="77777777" w:rsidR="004D0744" w:rsidRPr="009F1C9E" w:rsidRDefault="004D0744" w:rsidP="00A862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679"/>
        <w:jc w:val="both"/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</w:pPr>
      <w:r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Az idővel leromlott állapotú és felhagyott iparterület újraértékelése a 2000-es években kezdődött meg. A Világörökség részét képező Duna-parton, az egykori Dunapart Teherpályaudvar helyén létrejött az új Millenniumi Városközpont a Művészetek Palotája és a Nemzeti Színház épületeivel. Jelenleg a Vágóhíd utca térsége funkcióváltás alatt áll, de a terület tágabb környezetét tekintve szervesen kapcsolódik a város egyik hosszú távú fejlesztési koncepciójához, a Déli Városkapu programhoz. </w:t>
      </w:r>
    </w:p>
    <w:p w14:paraId="58C83C33" w14:textId="77777777" w:rsidR="004D0744" w:rsidRPr="009F1C9E" w:rsidRDefault="004D0744" w:rsidP="00A862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679"/>
        <w:jc w:val="both"/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</w:pPr>
    </w:p>
    <w:p w14:paraId="14BA43DA" w14:textId="77777777" w:rsidR="004D0744" w:rsidRPr="009F1C9E" w:rsidRDefault="004D0744" w:rsidP="00A862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679"/>
        <w:jc w:val="both"/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</w:pPr>
      <w:r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 xml:space="preserve">A Közvágóhíd épületei </w:t>
      </w:r>
      <w:r w:rsidRPr="009F1C9E">
        <w:rPr>
          <w:rFonts w:ascii="Calibri" w:hAnsi="Calibri" w:cs="Calibri"/>
          <w:sz w:val="22"/>
          <w:szCs w:val="22"/>
        </w:rPr>
        <w:t xml:space="preserve">a </w:t>
      </w:r>
      <w:r w:rsidRPr="009F1C9E"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  <w:t>Soroksári út – Vágóhíd utca – Mester utca – Máriássy utca által körbezárt 13 hektáros területen voltak megtalálhatóak. Az épületegyüttes egy része a magyar ipartörténet jelentős emlékeként fővárosi védettség alatt állt. A Soroksári útról nyíló, reprezentatív bejárati kapu mögött egy tengelyesen szimmetrikus elrendezésű, klasszikus épületegyüttes állt. A hatalmas telken a mintegy 600 marha befogadására alkalmas vágóhíd épületein túl hústőzsde, 5000 szarvasmarha ideiglenes elhelyezésére alkalmas marhavásártér, valamint az ehhez szükséges raktárak, kiszolgáló egységek is helyet kaptak. A Marhavágóhíd 1960-ig működött, majd leromlott állapota miatt 1984-ben bezárták.</w:t>
      </w:r>
    </w:p>
    <w:p w14:paraId="48C9B512" w14:textId="77777777" w:rsidR="004D0744" w:rsidRPr="009F1C9E" w:rsidRDefault="004D0744" w:rsidP="00A862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679"/>
        <w:jc w:val="both"/>
        <w:rPr>
          <w:rFonts w:ascii="Calibri" w:eastAsia="Times New Roman" w:hAnsi="Calibri" w:cs="Calibri"/>
          <w:sz w:val="22"/>
          <w:szCs w:val="22"/>
          <w:shd w:val="clear" w:color="auto" w:fill="FFFFFF"/>
          <w:lang w:eastAsia="hu-HU"/>
        </w:rPr>
      </w:pPr>
    </w:p>
    <w:p w14:paraId="0AB5F0BC" w14:textId="020E19A0" w:rsidR="004D0744" w:rsidRPr="009F1C9E" w:rsidRDefault="004D0744" w:rsidP="004D0744">
      <w:pPr>
        <w:rPr>
          <w:rFonts w:ascii="Calibri" w:eastAsia="Times New Roman" w:hAnsi="Calibri" w:cs="Calibri"/>
          <w:shd w:val="clear" w:color="auto" w:fill="FFFFFF"/>
          <w:lang w:eastAsia="hu-HU"/>
        </w:rPr>
      </w:pPr>
    </w:p>
    <w:sectPr w:rsidR="004D0744" w:rsidRPr="009F1C9E" w:rsidSect="00B0697A">
      <w:pgSz w:w="11900" w:h="16840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765087"/>
    <w:multiLevelType w:val="hybridMultilevel"/>
    <w:tmpl w:val="1A3494E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E52944"/>
    <w:multiLevelType w:val="multilevel"/>
    <w:tmpl w:val="9C781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671"/>
    <w:rsid w:val="0000197E"/>
    <w:rsid w:val="00003682"/>
    <w:rsid w:val="00005A5C"/>
    <w:rsid w:val="00020882"/>
    <w:rsid w:val="000211CC"/>
    <w:rsid w:val="00027924"/>
    <w:rsid w:val="0003376B"/>
    <w:rsid w:val="000548A4"/>
    <w:rsid w:val="00054F25"/>
    <w:rsid w:val="0006076D"/>
    <w:rsid w:val="00086F94"/>
    <w:rsid w:val="000A46A2"/>
    <w:rsid w:val="000F382C"/>
    <w:rsid w:val="000F5B4D"/>
    <w:rsid w:val="0012502E"/>
    <w:rsid w:val="00151376"/>
    <w:rsid w:val="001555B0"/>
    <w:rsid w:val="00170882"/>
    <w:rsid w:val="0018431B"/>
    <w:rsid w:val="001A5C08"/>
    <w:rsid w:val="001A732D"/>
    <w:rsid w:val="001B5018"/>
    <w:rsid w:val="001D070E"/>
    <w:rsid w:val="001D20BE"/>
    <w:rsid w:val="001D7CE2"/>
    <w:rsid w:val="001F153B"/>
    <w:rsid w:val="001F2366"/>
    <w:rsid w:val="001F5694"/>
    <w:rsid w:val="002041F5"/>
    <w:rsid w:val="002116AE"/>
    <w:rsid w:val="00221779"/>
    <w:rsid w:val="0022312E"/>
    <w:rsid w:val="002475B7"/>
    <w:rsid w:val="00247D44"/>
    <w:rsid w:val="00276C95"/>
    <w:rsid w:val="002A2704"/>
    <w:rsid w:val="002F3C1B"/>
    <w:rsid w:val="002F5CBB"/>
    <w:rsid w:val="003003C8"/>
    <w:rsid w:val="00324A9E"/>
    <w:rsid w:val="00370C8B"/>
    <w:rsid w:val="003813C8"/>
    <w:rsid w:val="003B6F28"/>
    <w:rsid w:val="003C3986"/>
    <w:rsid w:val="003F1490"/>
    <w:rsid w:val="003F1D34"/>
    <w:rsid w:val="00400D8F"/>
    <w:rsid w:val="00435FCF"/>
    <w:rsid w:val="0044209A"/>
    <w:rsid w:val="004457AC"/>
    <w:rsid w:val="0046767F"/>
    <w:rsid w:val="00475B44"/>
    <w:rsid w:val="00484251"/>
    <w:rsid w:val="0048696A"/>
    <w:rsid w:val="004A6CB4"/>
    <w:rsid w:val="004B44ED"/>
    <w:rsid w:val="004D0744"/>
    <w:rsid w:val="004D3FDF"/>
    <w:rsid w:val="004F0E36"/>
    <w:rsid w:val="0050052B"/>
    <w:rsid w:val="00513BC8"/>
    <w:rsid w:val="00551C9B"/>
    <w:rsid w:val="00563DF8"/>
    <w:rsid w:val="00571293"/>
    <w:rsid w:val="00575CB3"/>
    <w:rsid w:val="0059414D"/>
    <w:rsid w:val="00597891"/>
    <w:rsid w:val="005B448E"/>
    <w:rsid w:val="005C1A3E"/>
    <w:rsid w:val="005C433C"/>
    <w:rsid w:val="005C4944"/>
    <w:rsid w:val="005C662F"/>
    <w:rsid w:val="005C7B4C"/>
    <w:rsid w:val="00641140"/>
    <w:rsid w:val="0068234C"/>
    <w:rsid w:val="007224CC"/>
    <w:rsid w:val="00750027"/>
    <w:rsid w:val="00773296"/>
    <w:rsid w:val="00773F48"/>
    <w:rsid w:val="00773FB9"/>
    <w:rsid w:val="00784CA4"/>
    <w:rsid w:val="007A6993"/>
    <w:rsid w:val="007B00B1"/>
    <w:rsid w:val="007B41E2"/>
    <w:rsid w:val="007B625A"/>
    <w:rsid w:val="007C280D"/>
    <w:rsid w:val="007D1EA8"/>
    <w:rsid w:val="007E3849"/>
    <w:rsid w:val="007E50CA"/>
    <w:rsid w:val="008068BB"/>
    <w:rsid w:val="00812981"/>
    <w:rsid w:val="008131CC"/>
    <w:rsid w:val="008423CB"/>
    <w:rsid w:val="00844B48"/>
    <w:rsid w:val="0084710B"/>
    <w:rsid w:val="00862683"/>
    <w:rsid w:val="00872831"/>
    <w:rsid w:val="00880FA6"/>
    <w:rsid w:val="008A1970"/>
    <w:rsid w:val="008E0A6B"/>
    <w:rsid w:val="0090611B"/>
    <w:rsid w:val="00936F0E"/>
    <w:rsid w:val="009525FA"/>
    <w:rsid w:val="00965C95"/>
    <w:rsid w:val="00972C51"/>
    <w:rsid w:val="009865F8"/>
    <w:rsid w:val="009918D6"/>
    <w:rsid w:val="009B2F5D"/>
    <w:rsid w:val="009B3423"/>
    <w:rsid w:val="009B73CF"/>
    <w:rsid w:val="009C6968"/>
    <w:rsid w:val="009E687D"/>
    <w:rsid w:val="009F126C"/>
    <w:rsid w:val="009F1C9E"/>
    <w:rsid w:val="00A00293"/>
    <w:rsid w:val="00A06CC1"/>
    <w:rsid w:val="00A218DE"/>
    <w:rsid w:val="00A45671"/>
    <w:rsid w:val="00A60758"/>
    <w:rsid w:val="00A86259"/>
    <w:rsid w:val="00A95FC4"/>
    <w:rsid w:val="00AE7B95"/>
    <w:rsid w:val="00B0697A"/>
    <w:rsid w:val="00B26AB4"/>
    <w:rsid w:val="00B54804"/>
    <w:rsid w:val="00B7158E"/>
    <w:rsid w:val="00B902D7"/>
    <w:rsid w:val="00BC796C"/>
    <w:rsid w:val="00BD7C1F"/>
    <w:rsid w:val="00C00E74"/>
    <w:rsid w:val="00C328DD"/>
    <w:rsid w:val="00C57BA6"/>
    <w:rsid w:val="00C63653"/>
    <w:rsid w:val="00C73E50"/>
    <w:rsid w:val="00C944E9"/>
    <w:rsid w:val="00C957CF"/>
    <w:rsid w:val="00C95A4A"/>
    <w:rsid w:val="00CA10D3"/>
    <w:rsid w:val="00CB2E54"/>
    <w:rsid w:val="00CC07F6"/>
    <w:rsid w:val="00CC097B"/>
    <w:rsid w:val="00CD6430"/>
    <w:rsid w:val="00CE0318"/>
    <w:rsid w:val="00CF6B6F"/>
    <w:rsid w:val="00CF74AE"/>
    <w:rsid w:val="00D10358"/>
    <w:rsid w:val="00D12223"/>
    <w:rsid w:val="00D175CC"/>
    <w:rsid w:val="00D30AB4"/>
    <w:rsid w:val="00D33677"/>
    <w:rsid w:val="00D37943"/>
    <w:rsid w:val="00D41E03"/>
    <w:rsid w:val="00D500A7"/>
    <w:rsid w:val="00D55BF9"/>
    <w:rsid w:val="00D626BD"/>
    <w:rsid w:val="00DB529A"/>
    <w:rsid w:val="00DB68AB"/>
    <w:rsid w:val="00DD449D"/>
    <w:rsid w:val="00DE2B0B"/>
    <w:rsid w:val="00E615B5"/>
    <w:rsid w:val="00E64B1E"/>
    <w:rsid w:val="00E65441"/>
    <w:rsid w:val="00E657CB"/>
    <w:rsid w:val="00E665AB"/>
    <w:rsid w:val="00E762DA"/>
    <w:rsid w:val="00E822A1"/>
    <w:rsid w:val="00E95CA5"/>
    <w:rsid w:val="00EA1A9D"/>
    <w:rsid w:val="00EA3C54"/>
    <w:rsid w:val="00ED3BEB"/>
    <w:rsid w:val="00ED71CE"/>
    <w:rsid w:val="00EF2E13"/>
    <w:rsid w:val="00F13CCD"/>
    <w:rsid w:val="00F26EAE"/>
    <w:rsid w:val="00F361C0"/>
    <w:rsid w:val="00F75EFE"/>
    <w:rsid w:val="00F93DB5"/>
    <w:rsid w:val="00FA1F82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E4C7C"/>
  <w14:defaultImageDpi w14:val="32767"/>
  <w15:chartTrackingRefBased/>
  <w15:docId w15:val="{A041E858-E4EE-D24E-A4C6-5675AB18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2">
    <w:name w:val="heading 2"/>
    <w:basedOn w:val="Norml"/>
    <w:link w:val="Cmsor2Char"/>
    <w:uiPriority w:val="9"/>
    <w:qFormat/>
    <w:rsid w:val="005C494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0F382C"/>
    <w:rPr>
      <w:b/>
      <w:bCs/>
    </w:rPr>
  </w:style>
  <w:style w:type="character" w:customStyle="1" w:styleId="apple-converted-space">
    <w:name w:val="apple-converted-space"/>
    <w:basedOn w:val="Bekezdsalapbettpusa"/>
    <w:rsid w:val="000F382C"/>
  </w:style>
  <w:style w:type="character" w:styleId="Hiperhivatkozs">
    <w:name w:val="Hyperlink"/>
    <w:basedOn w:val="Bekezdsalapbettpusa"/>
    <w:uiPriority w:val="99"/>
    <w:semiHidden/>
    <w:unhideWhenUsed/>
    <w:rsid w:val="0084710B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324A9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5C4944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bs-pd-statsdl-dd">
    <w:name w:val="bs-pd-stats__dl-dd"/>
    <w:basedOn w:val="Bekezdsalapbettpusa"/>
    <w:rsid w:val="0044209A"/>
  </w:style>
  <w:style w:type="paragraph" w:customStyle="1" w:styleId="bs-pd-statsdl-item">
    <w:name w:val="bs-pd-stats__dl-item"/>
    <w:basedOn w:val="Norml"/>
    <w:rsid w:val="009B2F5D"/>
    <w:pPr>
      <w:spacing w:before="100" w:beforeAutospacing="1" w:after="100" w:afterAutospacing="1"/>
    </w:pPr>
    <w:rPr>
      <w:rFonts w:ascii="Calibri" w:eastAsia="Times New Roman" w:hAnsi="Calibri" w:cs="Calibri"/>
      <w:sz w:val="22"/>
      <w:szCs w:val="22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4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8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20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2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24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58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81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4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754</Words>
  <Characters>5209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Pém Ildikó</dc:creator>
  <cp:keywords/>
  <dc:description/>
  <cp:lastModifiedBy>Pál Viktória</cp:lastModifiedBy>
  <cp:revision>2</cp:revision>
  <cp:lastPrinted>2021-04-25T09:47:00Z</cp:lastPrinted>
  <dcterms:created xsi:type="dcterms:W3CDTF">2021-09-23T10:41:00Z</dcterms:created>
  <dcterms:modified xsi:type="dcterms:W3CDTF">2021-09-23T10:41:00Z</dcterms:modified>
</cp:coreProperties>
</file>